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43B49"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229FF5D3" wp14:editId="6DA66329">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4B0E4AB8" w14:textId="77777777" w:rsidR="001C5C16" w:rsidRPr="00C175F9" w:rsidRDefault="00954BC6" w:rsidP="00B14985">
                            <w:pPr>
                              <w:jc w:val="right"/>
                              <w:rPr>
                                <w:rFonts w:ascii="Calibri Light" w:hAnsi="Calibri Light"/>
                                <w:b/>
                                <w:color w:val="FF0000"/>
                                <w:sz w:val="20"/>
                              </w:rPr>
                            </w:pPr>
                            <w:hyperlink r:id="rId8" w:history="1">
                              <w:r w:rsidR="001C5C1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9FF5D3"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4B0E4AB8" w14:textId="77777777" w:rsidR="001C5C16" w:rsidRPr="00C175F9" w:rsidRDefault="00954BC6" w:rsidP="00B14985">
                      <w:pPr>
                        <w:jc w:val="right"/>
                        <w:rPr>
                          <w:rFonts w:ascii="Calibri Light" w:hAnsi="Calibri Light"/>
                          <w:b/>
                          <w:color w:val="FF0000"/>
                          <w:sz w:val="20"/>
                        </w:rPr>
                      </w:pPr>
                      <w:hyperlink r:id="rId9" w:history="1">
                        <w:r w:rsidR="001C5C1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23370EFD" wp14:editId="1246B364">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B88CC2" w14:textId="77777777" w:rsidR="001C5C16" w:rsidRPr="00831B07" w:rsidRDefault="001C5C1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70EFD"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28B88CC2" w14:textId="77777777" w:rsidR="001C5C16" w:rsidRPr="00831B07" w:rsidRDefault="001C5C1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64EA8A86" w14:textId="77777777" w:rsidTr="001E6192">
        <w:trPr>
          <w:trHeight w:val="592"/>
        </w:trPr>
        <w:tc>
          <w:tcPr>
            <w:tcW w:w="1890" w:type="dxa"/>
            <w:gridSpan w:val="2"/>
            <w:vAlign w:val="center"/>
          </w:tcPr>
          <w:p w14:paraId="4D3321C1"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3D5CAEA3" wp14:editId="27A47C9B">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3DA2D8D5"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2B65368D" w14:textId="4A5794E8" w:rsidR="009C2829" w:rsidRPr="000257FB" w:rsidRDefault="001F31B8" w:rsidP="003075DC">
            <w:pPr>
              <w:pStyle w:val="Header"/>
              <w:jc w:val="center"/>
              <w:rPr>
                <w:rFonts w:asciiTheme="majorHAnsi" w:hAnsiTheme="majorHAnsi"/>
                <w:b/>
              </w:rPr>
            </w:pPr>
            <w:r>
              <w:rPr>
                <w:rFonts w:asciiTheme="majorHAnsi" w:hAnsiTheme="majorHAnsi"/>
                <w:b/>
                <w:sz w:val="22"/>
              </w:rPr>
              <w:t xml:space="preserve">Feb. </w:t>
            </w:r>
            <w:r w:rsidR="003075DC">
              <w:rPr>
                <w:rFonts w:asciiTheme="majorHAnsi" w:hAnsiTheme="majorHAnsi"/>
                <w:b/>
                <w:sz w:val="22"/>
              </w:rPr>
              <w:t>23</w:t>
            </w:r>
            <w:r w:rsidR="009C2829">
              <w:rPr>
                <w:rFonts w:asciiTheme="majorHAnsi" w:hAnsiTheme="majorHAnsi"/>
                <w:b/>
                <w:sz w:val="22"/>
              </w:rPr>
              <w:t>, 201</w:t>
            </w:r>
            <w:r w:rsidR="0052069E">
              <w:rPr>
                <w:rFonts w:asciiTheme="majorHAnsi" w:hAnsiTheme="majorHAnsi"/>
                <w:b/>
                <w:sz w:val="22"/>
              </w:rPr>
              <w:t>7</w:t>
            </w:r>
          </w:p>
        </w:tc>
      </w:tr>
      <w:tr w:rsidR="009C2829" w:rsidRPr="00B14985" w14:paraId="7EB1F193"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14D12594"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6C4D1488" wp14:editId="64199785">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369B4BA6"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44D6BBBB" wp14:editId="7CECDCC8">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1EDECD59" w14:textId="77777777" w:rsidTr="00C4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0B8D7F2E" w14:textId="293D3DAA" w:rsidR="00936B3A" w:rsidRDefault="00954BC6" w:rsidP="003F0266">
            <w:pPr>
              <w:rPr>
                <w:rFonts w:ascii="Calibri Light" w:hAnsi="Calibri Light"/>
                <w:noProof/>
                <w:sz w:val="20"/>
              </w:rPr>
            </w:pPr>
            <w:r>
              <w:rPr>
                <w:rFonts w:ascii="Calibri Light" w:hAnsi="Calibri Light"/>
                <w:b/>
                <w:noProof/>
                <w:sz w:val="20"/>
              </w:rPr>
              <w:t>OCE</w:t>
            </w:r>
          </w:p>
          <w:p w14:paraId="38747018" w14:textId="77777777" w:rsidR="00954BC6" w:rsidRPr="00954BC6" w:rsidRDefault="00954BC6" w:rsidP="00954BC6">
            <w:pPr>
              <w:rPr>
                <w:rFonts w:ascii="Calibri Light" w:hAnsi="Calibri Light"/>
                <w:noProof/>
                <w:sz w:val="20"/>
              </w:rPr>
            </w:pPr>
            <w:r w:rsidRPr="00954BC6">
              <w:rPr>
                <w:rFonts w:ascii="Calibri Light" w:hAnsi="Calibri Light"/>
                <w:noProof/>
                <w:sz w:val="20"/>
              </w:rPr>
              <w:t>The Office of Clinical Education hosted the Site Selection Meeting which was held on Wednesday, February 22, 2017 in Levin Hall for rising 3</w:t>
            </w:r>
            <w:r w:rsidRPr="00954BC6">
              <w:rPr>
                <w:rFonts w:ascii="Calibri Light" w:hAnsi="Calibri Light"/>
                <w:noProof/>
                <w:sz w:val="20"/>
                <w:vertAlign w:val="superscript"/>
              </w:rPr>
              <w:t>rd</w:t>
            </w:r>
            <w:r w:rsidRPr="00954BC6">
              <w:rPr>
                <w:rFonts w:ascii="Calibri Light" w:hAnsi="Calibri Light"/>
                <w:noProof/>
                <w:sz w:val="20"/>
              </w:rPr>
              <w:t xml:space="preserve"> year students.</w:t>
            </w:r>
          </w:p>
          <w:p w14:paraId="65FD1897" w14:textId="76C9FFD2" w:rsidR="00954BC6" w:rsidRDefault="00954BC6" w:rsidP="00954BC6">
            <w:pPr>
              <w:rPr>
                <w:rFonts w:ascii="Calibri Light" w:hAnsi="Calibri Light"/>
                <w:noProof/>
                <w:sz w:val="20"/>
              </w:rPr>
            </w:pPr>
            <w:r w:rsidRPr="00954BC6">
              <w:rPr>
                <w:rFonts w:ascii="Calibri Light" w:hAnsi="Calibri Light"/>
                <w:noProof/>
                <w:sz w:val="20"/>
              </w:rPr>
              <w:t>Students heard discussions on planning and placement optio</w:t>
            </w:r>
            <w:r>
              <w:rPr>
                <w:rFonts w:ascii="Calibri Light" w:hAnsi="Calibri Light"/>
                <w:noProof/>
                <w:sz w:val="20"/>
              </w:rPr>
              <w:t xml:space="preserve">ns for the next academic year, </w:t>
            </w:r>
            <w:r w:rsidRPr="00954BC6">
              <w:rPr>
                <w:rFonts w:ascii="Calibri Light" w:hAnsi="Calibri Light"/>
                <w:noProof/>
                <w:sz w:val="20"/>
              </w:rPr>
              <w:t>which include Houston and Galveston.</w:t>
            </w:r>
          </w:p>
          <w:p w14:paraId="3E68053D" w14:textId="77777777" w:rsidR="00954BC6" w:rsidRDefault="00954BC6" w:rsidP="00954BC6">
            <w:pPr>
              <w:rPr>
                <w:rFonts w:ascii="Calibri Light" w:hAnsi="Calibri Light"/>
                <w:noProof/>
                <w:sz w:val="20"/>
              </w:rPr>
            </w:pPr>
          </w:p>
          <w:p w14:paraId="379DC901" w14:textId="3B350F05" w:rsidR="00954BC6" w:rsidRDefault="00954BC6" w:rsidP="00954BC6">
            <w:pPr>
              <w:rPr>
                <w:rFonts w:ascii="Calibri Light" w:hAnsi="Calibri Light"/>
                <w:noProof/>
                <w:sz w:val="20"/>
              </w:rPr>
            </w:pPr>
            <w:r>
              <w:rPr>
                <w:rFonts w:ascii="Calibri Light" w:hAnsi="Calibri Light"/>
                <w:b/>
                <w:noProof/>
                <w:sz w:val="20"/>
              </w:rPr>
              <w:t>IMO</w:t>
            </w:r>
          </w:p>
          <w:p w14:paraId="68EA2399" w14:textId="77777777" w:rsidR="00954BC6" w:rsidRPr="00954BC6" w:rsidRDefault="00954BC6" w:rsidP="00954BC6">
            <w:pPr>
              <w:rPr>
                <w:rFonts w:ascii="Calibri Light" w:hAnsi="Calibri Light"/>
                <w:noProof/>
                <w:sz w:val="20"/>
              </w:rPr>
            </w:pPr>
            <w:r w:rsidRPr="00954BC6">
              <w:rPr>
                <w:rFonts w:ascii="Calibri Light" w:hAnsi="Calibri Light"/>
                <w:noProof/>
                <w:sz w:val="20"/>
              </w:rPr>
              <w:t>IMO successfully implemented the EER final exam.  Students performed well exceeding the National mean.  Many thanks to the course Coordinator Barbara Mathews, and the entire IMO staff for their assistance.</w:t>
            </w:r>
          </w:p>
          <w:p w14:paraId="7D8DFC9E" w14:textId="77777777" w:rsidR="00954BC6" w:rsidRPr="00954BC6" w:rsidRDefault="00954BC6" w:rsidP="00954BC6">
            <w:pPr>
              <w:rPr>
                <w:rFonts w:ascii="Calibri Light" w:hAnsi="Calibri Light"/>
                <w:noProof/>
                <w:sz w:val="20"/>
              </w:rPr>
            </w:pPr>
            <w:bookmarkStart w:id="0" w:name="_GoBack"/>
            <w:bookmarkEnd w:id="0"/>
          </w:p>
          <w:p w14:paraId="2D737D0C" w14:textId="77777777" w:rsidR="00954BC6" w:rsidRPr="00954BC6" w:rsidRDefault="00954BC6" w:rsidP="003F0266">
            <w:pPr>
              <w:rPr>
                <w:rFonts w:ascii="Calibri Light" w:hAnsi="Calibri Light"/>
                <w:noProof/>
                <w:sz w:val="20"/>
              </w:rPr>
            </w:pPr>
          </w:p>
          <w:p w14:paraId="4E54B50B" w14:textId="77777777" w:rsidR="00936B3A" w:rsidRPr="003F0266" w:rsidRDefault="00936B3A" w:rsidP="008B6179">
            <w:pPr>
              <w:rPr>
                <w:rFonts w:ascii="Calibri Light" w:hAnsi="Calibri Light"/>
                <w:noProof/>
                <w:sz w:val="20"/>
              </w:rPr>
            </w:pPr>
          </w:p>
        </w:tc>
        <w:tc>
          <w:tcPr>
            <w:tcW w:w="5940" w:type="dxa"/>
            <w:gridSpan w:val="2"/>
          </w:tcPr>
          <w:p w14:paraId="22B23CB7" w14:textId="77777777" w:rsidR="008F3550" w:rsidRDefault="008F3550" w:rsidP="00A83199">
            <w:pPr>
              <w:rPr>
                <w:rFonts w:asciiTheme="majorHAnsi" w:hAnsiTheme="majorHAnsi" w:cs="Arial"/>
                <w:b/>
                <w:bCs/>
                <w:spacing w:val="-2"/>
                <w:szCs w:val="20"/>
              </w:rPr>
            </w:pPr>
          </w:p>
          <w:p w14:paraId="2AD00A87" w14:textId="15073F4A" w:rsidR="00BE01D0" w:rsidRDefault="00932551" w:rsidP="00BE01D0">
            <w:pPr>
              <w:rPr>
                <w:rFonts w:asciiTheme="majorHAnsi" w:hAnsiTheme="majorHAnsi" w:cs="Arial"/>
                <w:b/>
                <w:bCs/>
                <w:spacing w:val="-2"/>
                <w:szCs w:val="20"/>
              </w:rPr>
            </w:pPr>
            <w:r>
              <w:rPr>
                <w:rFonts w:asciiTheme="majorHAnsi" w:hAnsiTheme="majorHAnsi" w:cs="Arial"/>
                <w:b/>
                <w:bCs/>
                <w:spacing w:val="-2"/>
                <w:szCs w:val="20"/>
              </w:rPr>
              <w:t>UT System directory</w:t>
            </w:r>
            <w:r w:rsidR="00BE01D0">
              <w:rPr>
                <w:rFonts w:asciiTheme="majorHAnsi" w:hAnsiTheme="majorHAnsi" w:cs="Arial"/>
                <w:b/>
                <w:bCs/>
                <w:spacing w:val="-2"/>
                <w:szCs w:val="20"/>
              </w:rPr>
              <w:t>:</w:t>
            </w:r>
          </w:p>
          <w:p w14:paraId="39A348FF" w14:textId="77777777" w:rsidR="00C46906" w:rsidRDefault="00932551" w:rsidP="00FB5C20">
            <w:pPr>
              <w:rPr>
                <w:rFonts w:ascii="Calibri Light" w:hAnsi="Calibri Light" w:cs="Arial"/>
                <w:sz w:val="20"/>
                <w:szCs w:val="20"/>
              </w:rPr>
            </w:pPr>
            <w:r w:rsidRPr="00932551">
              <w:rPr>
                <w:rFonts w:ascii="Calibri Light" w:hAnsi="Calibri Light" w:cs="Arial"/>
                <w:sz w:val="20"/>
                <w:szCs w:val="20"/>
              </w:rPr>
              <w:t>The University of Texas System’s Office of Technology and Information Services worked recen</w:t>
            </w:r>
            <w:r w:rsidR="00C9536F">
              <w:rPr>
                <w:rFonts w:ascii="Calibri Light" w:hAnsi="Calibri Light" w:cs="Arial"/>
                <w:sz w:val="20"/>
                <w:szCs w:val="20"/>
              </w:rPr>
              <w:t>tly with all member institution</w:t>
            </w:r>
            <w:r w:rsidRPr="00932551">
              <w:rPr>
                <w:rFonts w:ascii="Calibri Light" w:hAnsi="Calibri Light" w:cs="Arial"/>
                <w:sz w:val="20"/>
                <w:szCs w:val="20"/>
              </w:rPr>
              <w:t>s</w:t>
            </w:r>
            <w:r w:rsidR="00C9536F">
              <w:rPr>
                <w:rFonts w:ascii="Calibri Light" w:hAnsi="Calibri Light" w:cs="Arial"/>
                <w:sz w:val="20"/>
                <w:szCs w:val="20"/>
              </w:rPr>
              <w:t>’</w:t>
            </w:r>
            <w:r w:rsidRPr="00932551">
              <w:rPr>
                <w:rFonts w:ascii="Calibri Light" w:hAnsi="Calibri Light" w:cs="Arial"/>
                <w:sz w:val="20"/>
                <w:szCs w:val="20"/>
              </w:rPr>
              <w:t xml:space="preserve"> IT teams to launch a new </w:t>
            </w:r>
            <w:proofErr w:type="spellStart"/>
            <w:r w:rsidRPr="00932551">
              <w:rPr>
                <w:rFonts w:ascii="Calibri Light" w:hAnsi="Calibri Light" w:cs="Arial"/>
                <w:sz w:val="20"/>
                <w:szCs w:val="20"/>
              </w:rPr>
              <w:t>systemwide</w:t>
            </w:r>
            <w:proofErr w:type="spellEnd"/>
            <w:r w:rsidRPr="00932551">
              <w:rPr>
                <w:rFonts w:ascii="Calibri Light" w:hAnsi="Calibri Light" w:cs="Arial"/>
                <w:sz w:val="20"/>
                <w:szCs w:val="20"/>
              </w:rPr>
              <w:t xml:space="preserve"> employee directory. The directory will make it easier for staff and faculty members to collaborate with their colleagues at other UT System institutions. To access the directory and search for any other UT employee by last name or institution, go to </w:t>
            </w:r>
            <w:hyperlink r:id="rId13" w:history="1">
              <w:r w:rsidRPr="00DD4437">
                <w:rPr>
                  <w:rStyle w:val="Hyperlink"/>
                  <w:rFonts w:ascii="Calibri Light" w:hAnsi="Calibri Light" w:cs="Arial"/>
                  <w:color w:val="FF0000"/>
                  <w:sz w:val="20"/>
                  <w:szCs w:val="20"/>
                </w:rPr>
                <w:t>http://www.utsystem.edu/directory</w:t>
              </w:r>
            </w:hyperlink>
            <w:r w:rsidRPr="00932551">
              <w:rPr>
                <w:rFonts w:ascii="Calibri Light" w:hAnsi="Calibri Light" w:cs="Arial"/>
                <w:sz w:val="20"/>
                <w:szCs w:val="20"/>
              </w:rPr>
              <w:t>, select “UT System-wide Directory” and sign in using your UTMB credentials.</w:t>
            </w:r>
          </w:p>
          <w:p w14:paraId="48344091" w14:textId="77777777" w:rsidR="00FB5C20" w:rsidRDefault="00FB5C20" w:rsidP="00FB5C20">
            <w:pPr>
              <w:rPr>
                <w:rFonts w:ascii="Calibri Light" w:hAnsi="Calibri Light" w:cs="Arial"/>
                <w:sz w:val="20"/>
                <w:szCs w:val="20"/>
              </w:rPr>
            </w:pPr>
          </w:p>
          <w:p w14:paraId="179DE407" w14:textId="77777777" w:rsidR="00FB5C20" w:rsidRDefault="00FB5C20" w:rsidP="00FB5C20">
            <w:pPr>
              <w:spacing w:before="120"/>
              <w:rPr>
                <w:rFonts w:ascii="Calibri Light" w:hAnsi="Calibri Light" w:cs="Arial"/>
                <w:bCs/>
                <w:color w:val="000000"/>
                <w:sz w:val="20"/>
                <w:szCs w:val="20"/>
              </w:rPr>
            </w:pPr>
            <w:r>
              <w:rPr>
                <w:rFonts w:asciiTheme="majorHAnsi" w:hAnsiTheme="majorHAnsi"/>
                <w:b/>
              </w:rPr>
              <w:t>Reminder—Mondays in March Business and Finance Update:</w:t>
            </w:r>
          </w:p>
          <w:p w14:paraId="1F41A2DB" w14:textId="77777777" w:rsidR="00FB5C20" w:rsidRPr="00C84241" w:rsidRDefault="00FB5C20" w:rsidP="00FB5C20">
            <w:pPr>
              <w:rPr>
                <w:rFonts w:ascii="Calibri Light" w:hAnsi="Calibri Light"/>
                <w:sz w:val="20"/>
                <w:szCs w:val="20"/>
              </w:rPr>
            </w:pPr>
            <w:r w:rsidRPr="003833DD">
              <w:rPr>
                <w:rFonts w:ascii="Calibri Light" w:hAnsi="Calibri Light" w:cs="Arial"/>
                <w:color w:val="333333"/>
                <w:sz w:val="20"/>
                <w:szCs w:val="20"/>
              </w:rPr>
              <w:t xml:space="preserve">The 2017 Mondays in March four-week series begins March 6 when the first session is hosted by Cheryl </w:t>
            </w:r>
            <w:r>
              <w:rPr>
                <w:rFonts w:ascii="Calibri Light" w:hAnsi="Calibri Light" w:cs="Arial"/>
                <w:color w:val="333333"/>
                <w:sz w:val="20"/>
                <w:szCs w:val="20"/>
              </w:rPr>
              <w:t xml:space="preserve">A. </w:t>
            </w:r>
            <w:proofErr w:type="spellStart"/>
            <w:r w:rsidRPr="003833DD">
              <w:rPr>
                <w:rFonts w:ascii="Calibri Light" w:hAnsi="Calibri Light" w:cs="Arial"/>
                <w:color w:val="333333"/>
                <w:sz w:val="20"/>
                <w:szCs w:val="20"/>
              </w:rPr>
              <w:t>Sadro</w:t>
            </w:r>
            <w:proofErr w:type="spellEnd"/>
            <w:r w:rsidRPr="003833DD">
              <w:rPr>
                <w:rFonts w:ascii="Calibri Light" w:hAnsi="Calibri Light" w:cs="Arial"/>
                <w:color w:val="333333"/>
                <w:sz w:val="20"/>
                <w:szCs w:val="20"/>
              </w:rPr>
              <w:t>, executive vice president and chief business and finance officer. All sessions begin at noon in Levin Hall Auditorium on the Galveston Campus. Have a question for UTMB executive leadership? Please submit them via the </w:t>
            </w:r>
            <w:hyperlink r:id="rId14" w:history="1">
              <w:r w:rsidRPr="00EE40CF">
                <w:rPr>
                  <w:rStyle w:val="Hyperlink"/>
                  <w:rFonts w:ascii="Calibri Light" w:hAnsi="Calibri Light" w:cs="Arial"/>
                  <w:color w:val="FF0000"/>
                  <w:sz w:val="20"/>
                  <w:szCs w:val="20"/>
                </w:rPr>
                <w:t>Employee Advisory Council</w:t>
              </w:r>
            </w:hyperlink>
            <w:r w:rsidRPr="003833DD">
              <w:rPr>
                <w:rFonts w:ascii="Calibri Light" w:hAnsi="Calibri Light" w:cs="Arial"/>
                <w:color w:val="333333"/>
                <w:sz w:val="20"/>
                <w:szCs w:val="20"/>
              </w:rPr>
              <w:t> website. For more information about this year’s series and for remote viewing options, visit </w:t>
            </w:r>
            <w:hyperlink r:id="rId15" w:history="1">
              <w:r w:rsidRPr="00EE40CF">
                <w:rPr>
                  <w:rStyle w:val="Hyperlink"/>
                  <w:rFonts w:ascii="Calibri Light" w:hAnsi="Calibri Light" w:cs="Arial"/>
                  <w:color w:val="FF0000"/>
                  <w:sz w:val="20"/>
                  <w:szCs w:val="20"/>
                </w:rPr>
                <w:t>https://www.utmb.edu/mondays-in-march</w:t>
              </w:r>
            </w:hyperlink>
            <w:r w:rsidRPr="003833DD">
              <w:rPr>
                <w:rFonts w:ascii="Calibri Light" w:hAnsi="Calibri Light" w:cs="Arial"/>
                <w:color w:val="333333"/>
                <w:sz w:val="20"/>
                <w:szCs w:val="20"/>
              </w:rPr>
              <w:t>.</w:t>
            </w:r>
          </w:p>
          <w:p w14:paraId="6CCD6669" w14:textId="3F485A82" w:rsidR="00FB5C20" w:rsidRPr="00FB5C20" w:rsidRDefault="00FB5C20" w:rsidP="00FB5C20">
            <w:pPr>
              <w:rPr>
                <w:rFonts w:ascii="Calibri Light" w:hAnsi="Calibri Light" w:cs="Arial"/>
                <w:sz w:val="20"/>
                <w:szCs w:val="20"/>
              </w:rPr>
            </w:pPr>
          </w:p>
        </w:tc>
      </w:tr>
      <w:tr w:rsidR="009C2829" w14:paraId="53AF4765"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647884E7"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7E8F8D3F"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42AA956"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25DEDB6B" wp14:editId="71946DF6">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664B6B41" wp14:editId="765E843C">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2303FA05" wp14:editId="6A9B4DFB">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630B90EA" wp14:editId="4DC34F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3224CDE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652D0E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52A05B19" w14:textId="77777777" w:rsidTr="00E72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22"/>
        </w:trPr>
        <w:tc>
          <w:tcPr>
            <w:tcW w:w="5130" w:type="dxa"/>
            <w:gridSpan w:val="3"/>
            <w:vMerge w:val="restart"/>
            <w:tcBorders>
              <w:top w:val="single" w:sz="8" w:space="0" w:color="auto"/>
              <w:left w:val="single" w:sz="8" w:space="0" w:color="auto"/>
              <w:right w:val="single" w:sz="4" w:space="0" w:color="auto"/>
            </w:tcBorders>
          </w:tcPr>
          <w:p w14:paraId="6B09DA1C" w14:textId="0DBE9C1B" w:rsidR="00932551" w:rsidRDefault="00932551" w:rsidP="00932551">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53A33C3C" wp14:editId="384AADFA">
                  <wp:extent cx="199390" cy="23241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b/>
              </w:rPr>
              <w:t xml:space="preserve"> </w:t>
            </w:r>
            <w:r w:rsidR="003833DD">
              <w:rPr>
                <w:rFonts w:asciiTheme="majorHAnsi" w:hAnsiTheme="majorHAnsi"/>
                <w:b/>
              </w:rPr>
              <w:t>Epic Best Care optimizations</w:t>
            </w:r>
            <w:r>
              <w:rPr>
                <w:rFonts w:asciiTheme="majorHAnsi" w:hAnsiTheme="majorHAnsi"/>
                <w:b/>
              </w:rPr>
              <w:t>:</w:t>
            </w:r>
          </w:p>
          <w:p w14:paraId="74015CF4" w14:textId="40443A7B" w:rsidR="00932551" w:rsidRPr="003833DD" w:rsidRDefault="003833DD" w:rsidP="00932551">
            <w:pPr>
              <w:rPr>
                <w:rFonts w:ascii="Calibri Light" w:hAnsi="Calibri Light" w:cs="Arial"/>
                <w:color w:val="262626"/>
                <w:sz w:val="20"/>
                <w:szCs w:val="20"/>
              </w:rPr>
            </w:pPr>
            <w:r w:rsidRPr="003833DD">
              <w:rPr>
                <w:rFonts w:ascii="Calibri Light" w:hAnsi="Calibri Light" w:cs="Arial"/>
                <w:sz w:val="20"/>
                <w:szCs w:val="20"/>
                <w:lang w:val="en"/>
              </w:rPr>
              <w:t>Several optimizations were recently made to the Epic EMR in support of Best Care—you may have heard some of these mentioned during the recent Best Care Lunch &amp; Learn Series, which can be accessed </w:t>
            </w:r>
            <w:hyperlink r:id="rId20" w:history="1">
              <w:r w:rsidRPr="00EE40CF">
                <w:rPr>
                  <w:rStyle w:val="Hyperlink"/>
                  <w:rFonts w:ascii="Calibri Light" w:hAnsi="Calibri Light" w:cs="Arial"/>
                  <w:color w:val="FF0000"/>
                  <w:sz w:val="20"/>
                  <w:szCs w:val="20"/>
                  <w:lang w:val="en"/>
                </w:rPr>
                <w:t>online</w:t>
              </w:r>
            </w:hyperlink>
            <w:r w:rsidRPr="003833DD">
              <w:rPr>
                <w:rFonts w:ascii="Calibri Light" w:hAnsi="Calibri Light" w:cs="Arial"/>
                <w:sz w:val="20"/>
                <w:szCs w:val="20"/>
                <w:lang w:val="en"/>
              </w:rPr>
              <w:t>.</w:t>
            </w:r>
          </w:p>
          <w:p w14:paraId="7EAC6079" w14:textId="77777777" w:rsidR="003833DD" w:rsidRPr="003833DD" w:rsidRDefault="003833DD" w:rsidP="003833DD">
            <w:pPr>
              <w:numPr>
                <w:ilvl w:val="0"/>
                <w:numId w:val="47"/>
              </w:numPr>
              <w:spacing w:line="242" w:lineRule="atLeast"/>
              <w:rPr>
                <w:rFonts w:ascii="Calibri Light" w:hAnsi="Calibri Light" w:cs="Arial"/>
                <w:sz w:val="20"/>
                <w:szCs w:val="20"/>
              </w:rPr>
            </w:pPr>
            <w:r w:rsidRPr="003833DD">
              <w:rPr>
                <w:rFonts w:ascii="Calibri Light" w:hAnsi="Calibri Light" w:cs="Arial"/>
                <w:sz w:val="20"/>
                <w:szCs w:val="20"/>
                <w:lang w:val="en"/>
              </w:rPr>
              <w:t>Several note templates were added as a way of prompting documentation of readmission criteria.</w:t>
            </w:r>
          </w:p>
          <w:p w14:paraId="35FDEFA7" w14:textId="77777777" w:rsidR="003833DD" w:rsidRPr="003833DD" w:rsidRDefault="003833DD" w:rsidP="003833DD">
            <w:pPr>
              <w:numPr>
                <w:ilvl w:val="0"/>
                <w:numId w:val="47"/>
              </w:numPr>
              <w:spacing w:line="242" w:lineRule="atLeast"/>
              <w:rPr>
                <w:rFonts w:ascii="Calibri Light" w:hAnsi="Calibri Light" w:cs="Arial"/>
                <w:sz w:val="20"/>
                <w:szCs w:val="20"/>
              </w:rPr>
            </w:pPr>
            <w:r w:rsidRPr="003833DD">
              <w:rPr>
                <w:rFonts w:ascii="Calibri Light" w:hAnsi="Calibri Light" w:cs="Arial"/>
                <w:sz w:val="20"/>
                <w:szCs w:val="20"/>
                <w:lang w:val="en"/>
              </w:rPr>
              <w:t>A new list now identifies patients currently considered “Hospital Dependent” so the care team can focus care on avoiding a potentially preventable readmission. Additionally, certain criteria were added that helps the provider determine whether the patient can be more appropriately managed in an outpatient setting or in observation.</w:t>
            </w:r>
          </w:p>
          <w:p w14:paraId="69DFB082" w14:textId="77777777" w:rsidR="003833DD" w:rsidRPr="003833DD" w:rsidRDefault="003833DD" w:rsidP="003833DD">
            <w:pPr>
              <w:numPr>
                <w:ilvl w:val="0"/>
                <w:numId w:val="47"/>
              </w:numPr>
              <w:spacing w:line="242" w:lineRule="atLeast"/>
              <w:rPr>
                <w:rFonts w:ascii="Calibri Light" w:hAnsi="Calibri Light" w:cs="Arial"/>
                <w:sz w:val="20"/>
                <w:szCs w:val="20"/>
              </w:rPr>
            </w:pPr>
            <w:r w:rsidRPr="003833DD">
              <w:rPr>
                <w:rFonts w:ascii="Calibri Light" w:hAnsi="Calibri Light" w:cs="Arial"/>
                <w:sz w:val="20"/>
                <w:szCs w:val="20"/>
                <w:lang w:val="en"/>
              </w:rPr>
              <w:t>A process improvement project was piloted that helps ensure all appropriate paperwork for MRI orders is completed before patients are sent for imaging. This helped increase the number of imaging slots by 2-3 per day; plans are underway to expand the new process across UTMB.</w:t>
            </w:r>
          </w:p>
          <w:p w14:paraId="2A62063D" w14:textId="4765F362" w:rsidR="00E72F87" w:rsidRPr="003833DD" w:rsidRDefault="003833DD" w:rsidP="00E72F87">
            <w:pPr>
              <w:numPr>
                <w:ilvl w:val="0"/>
                <w:numId w:val="47"/>
              </w:numPr>
              <w:spacing w:line="242" w:lineRule="atLeast"/>
              <w:rPr>
                <w:rFonts w:ascii="Calibri Light" w:hAnsi="Calibri Light" w:cs="Arial"/>
                <w:sz w:val="20"/>
                <w:szCs w:val="20"/>
              </w:rPr>
            </w:pPr>
            <w:r w:rsidRPr="003833DD">
              <w:rPr>
                <w:rFonts w:ascii="Calibri Light" w:hAnsi="Calibri Light" w:cs="Arial"/>
                <w:sz w:val="20"/>
                <w:szCs w:val="20"/>
                <w:lang w:val="en"/>
              </w:rPr>
              <w:t>In some cases, some post-op patients may only need post-op Mobility Therapy, a new service, as opposed to a complete Phys</w:t>
            </w:r>
            <w:r w:rsidR="00C84241">
              <w:rPr>
                <w:rFonts w:ascii="Calibri Light" w:hAnsi="Calibri Light" w:cs="Arial"/>
                <w:sz w:val="20"/>
                <w:szCs w:val="20"/>
                <w:lang w:val="en"/>
              </w:rPr>
              <w:t>ical Therapy regimen. This less-</w:t>
            </w:r>
            <w:r w:rsidRPr="003833DD">
              <w:rPr>
                <w:rFonts w:ascii="Calibri Light" w:hAnsi="Calibri Light" w:cs="Arial"/>
                <w:sz w:val="20"/>
                <w:szCs w:val="20"/>
                <w:lang w:val="en"/>
              </w:rPr>
              <w:t>intensive therapy is currently being piloted and is expected to help accelerate patient recovery.</w:t>
            </w:r>
          </w:p>
          <w:p w14:paraId="45D8E9FF" w14:textId="6A5B4432" w:rsidR="003833DD" w:rsidRDefault="003833DD" w:rsidP="003833DD">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2D95B793" wp14:editId="63B0575F">
                  <wp:extent cx="199390" cy="23241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b/>
              </w:rPr>
              <w:t xml:space="preserve"> Epic tip of the week:</w:t>
            </w:r>
          </w:p>
          <w:p w14:paraId="13480CC8" w14:textId="19E13FA5" w:rsidR="00625A69" w:rsidRPr="00C84241" w:rsidRDefault="003833DD" w:rsidP="00625A69">
            <w:pPr>
              <w:rPr>
                <w:rFonts w:ascii="Calibri Light" w:hAnsi="Calibri Light" w:cs="Arial"/>
                <w:sz w:val="20"/>
                <w:szCs w:val="20"/>
              </w:rPr>
            </w:pPr>
            <w:r w:rsidRPr="003833DD">
              <w:rPr>
                <w:rFonts w:ascii="Calibri Light" w:hAnsi="Calibri Light" w:cs="Arial"/>
                <w:sz w:val="20"/>
                <w:szCs w:val="20"/>
              </w:rPr>
              <w:t>Providers often ask if there is a quick and easy way to refill multiple medications. In the Medications &amp; Orders section, right click any of the patient's medications and choose Multiple Select. This will enable you to select multiple medications to refill in one session using the checkboxes to the left of each medication. These checkboxes are persistent and will remain until you turn them off. Repeat the same steps to disable them.</w:t>
            </w:r>
          </w:p>
          <w:p w14:paraId="75D61605" w14:textId="0950137C" w:rsidR="00625A69" w:rsidRPr="00625A69" w:rsidRDefault="00625A69" w:rsidP="00625A69">
            <w:pPr>
              <w:rPr>
                <w:rFonts w:ascii="Calibri Light" w:hAnsi="Calibri Light"/>
                <w:sz w:val="20"/>
                <w:szCs w:val="20"/>
              </w:rPr>
            </w:pPr>
          </w:p>
        </w:tc>
        <w:tc>
          <w:tcPr>
            <w:tcW w:w="5940" w:type="dxa"/>
            <w:gridSpan w:val="2"/>
            <w:tcBorders>
              <w:left w:val="single" w:sz="4" w:space="0" w:color="auto"/>
              <w:right w:val="single" w:sz="8" w:space="0" w:color="auto"/>
            </w:tcBorders>
            <w:shd w:val="clear" w:color="auto" w:fill="FFFFFF" w:themeFill="background1"/>
          </w:tcPr>
          <w:p w14:paraId="283B2D2D" w14:textId="231CA6BA" w:rsidR="003833DD" w:rsidRDefault="00EE40CF" w:rsidP="003833DD">
            <w:pPr>
              <w:spacing w:before="120"/>
              <w:rPr>
                <w:rFonts w:ascii="Calibri Light" w:hAnsi="Calibri Light" w:cs="Arial"/>
                <w:bCs/>
                <w:color w:val="000000"/>
                <w:sz w:val="20"/>
                <w:szCs w:val="20"/>
              </w:rPr>
            </w:pPr>
            <w:r>
              <w:rPr>
                <w:rFonts w:asciiTheme="majorHAnsi" w:hAnsiTheme="majorHAnsi"/>
                <w:b/>
                <w:noProof/>
              </w:rPr>
              <w:drawing>
                <wp:inline distT="0" distB="0" distL="0" distR="0" wp14:anchorId="7EC627E3" wp14:editId="0F3FF70F">
                  <wp:extent cx="209608" cy="20960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1626" cy="211626"/>
                          </a:xfrm>
                          <a:prstGeom prst="rect">
                            <a:avLst/>
                          </a:prstGeom>
                          <a:noFill/>
                        </pic:spPr>
                      </pic:pic>
                    </a:graphicData>
                  </a:graphic>
                </wp:inline>
              </w:drawing>
            </w:r>
            <w:r>
              <w:rPr>
                <w:rFonts w:asciiTheme="majorHAnsi" w:hAnsiTheme="majorHAnsi"/>
                <w:noProof/>
                <w:sz w:val="20"/>
              </w:rPr>
              <w:t xml:space="preserve"> </w:t>
            </w:r>
            <w:r w:rsidR="003833DD">
              <w:rPr>
                <w:rFonts w:asciiTheme="majorHAnsi" w:hAnsiTheme="majorHAnsi"/>
                <w:b/>
              </w:rPr>
              <w:t>CMC—Annual compliance training:</w:t>
            </w:r>
          </w:p>
          <w:p w14:paraId="606401D4" w14:textId="31E1FD98" w:rsidR="003833DD" w:rsidRPr="003833DD" w:rsidRDefault="003833DD" w:rsidP="003833DD">
            <w:pPr>
              <w:rPr>
                <w:rFonts w:ascii="Calibri Light" w:hAnsi="Calibri Light" w:cs="Arial"/>
                <w:sz w:val="20"/>
                <w:szCs w:val="20"/>
              </w:rPr>
            </w:pPr>
            <w:r w:rsidRPr="003833DD">
              <w:rPr>
                <w:rFonts w:ascii="Calibri Light" w:hAnsi="Calibri Light" w:cs="Arial"/>
                <w:sz w:val="20"/>
                <w:szCs w:val="20"/>
              </w:rPr>
              <w:t>Seventy-five percent of all staff have completed their annual online training. CMC’s deadline to achieve 100% completion is March 31. If you have not completed this training, please do so at your earliest convenience.</w:t>
            </w:r>
          </w:p>
          <w:p w14:paraId="60CD3C0B" w14:textId="6B8C756D" w:rsidR="003833DD" w:rsidRDefault="00EE40CF" w:rsidP="003833DD">
            <w:pPr>
              <w:spacing w:before="120"/>
              <w:rPr>
                <w:rFonts w:ascii="Calibri Light" w:hAnsi="Calibri Light" w:cs="Arial"/>
                <w:bCs/>
                <w:color w:val="000000"/>
                <w:sz w:val="20"/>
                <w:szCs w:val="20"/>
              </w:rPr>
            </w:pPr>
            <w:r>
              <w:rPr>
                <w:rFonts w:asciiTheme="majorHAnsi" w:hAnsiTheme="majorHAnsi"/>
                <w:b/>
                <w:noProof/>
              </w:rPr>
              <w:drawing>
                <wp:inline distT="0" distB="0" distL="0" distR="0" wp14:anchorId="1FEB3A11" wp14:editId="22A296E3">
                  <wp:extent cx="209610" cy="2096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0313" cy="210313"/>
                          </a:xfrm>
                          <a:prstGeom prst="rect">
                            <a:avLst/>
                          </a:prstGeom>
                          <a:noFill/>
                        </pic:spPr>
                      </pic:pic>
                    </a:graphicData>
                  </a:graphic>
                </wp:inline>
              </w:drawing>
            </w:r>
            <w:r>
              <w:rPr>
                <w:rFonts w:asciiTheme="majorHAnsi" w:hAnsiTheme="majorHAnsi"/>
                <w:noProof/>
                <w:sz w:val="20"/>
              </w:rPr>
              <w:t xml:space="preserve"> </w:t>
            </w:r>
            <w:r w:rsidR="003833DD">
              <w:rPr>
                <w:rFonts w:asciiTheme="majorHAnsi" w:hAnsiTheme="majorHAnsi"/>
                <w:b/>
              </w:rPr>
              <w:t>CMC—Asset inventory:</w:t>
            </w:r>
          </w:p>
          <w:p w14:paraId="77A71B3F" w14:textId="5A3E13B4" w:rsidR="003833DD" w:rsidRPr="003833DD" w:rsidRDefault="003833DD" w:rsidP="003833DD">
            <w:pPr>
              <w:rPr>
                <w:rFonts w:ascii="Calibri Light" w:hAnsi="Calibri Light" w:cs="Arial"/>
                <w:sz w:val="20"/>
                <w:szCs w:val="20"/>
              </w:rPr>
            </w:pPr>
            <w:r w:rsidRPr="003833DD">
              <w:rPr>
                <w:rFonts w:ascii="Calibri Light" w:hAnsi="Calibri Light" w:cs="Arial"/>
                <w:sz w:val="20"/>
                <w:szCs w:val="20"/>
              </w:rPr>
              <w:t>CMC is proud to announce that we have accounted for 96% of assets as of Feb. 17. Keep up the good work and let’s focus on getting this last 4% accounted for.</w:t>
            </w:r>
          </w:p>
          <w:p w14:paraId="5E21E8B8" w14:textId="4D97087E" w:rsidR="003833DD" w:rsidRDefault="00EE40CF" w:rsidP="003833DD">
            <w:pPr>
              <w:spacing w:before="120"/>
              <w:rPr>
                <w:rFonts w:ascii="Calibri Light" w:hAnsi="Calibri Light" w:cs="Arial"/>
                <w:bCs/>
                <w:color w:val="000000"/>
                <w:sz w:val="20"/>
                <w:szCs w:val="20"/>
              </w:rPr>
            </w:pPr>
            <w:r>
              <w:rPr>
                <w:rFonts w:asciiTheme="majorHAnsi" w:hAnsiTheme="majorHAnsi"/>
                <w:b/>
                <w:noProof/>
              </w:rPr>
              <w:drawing>
                <wp:inline distT="0" distB="0" distL="0" distR="0" wp14:anchorId="257C8929" wp14:editId="2F2A90C5">
                  <wp:extent cx="220692" cy="220692"/>
                  <wp:effectExtent l="0" t="0" r="825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4457" cy="224457"/>
                          </a:xfrm>
                          <a:prstGeom prst="rect">
                            <a:avLst/>
                          </a:prstGeom>
                          <a:noFill/>
                        </pic:spPr>
                      </pic:pic>
                    </a:graphicData>
                  </a:graphic>
                </wp:inline>
              </w:drawing>
            </w:r>
            <w:r>
              <w:rPr>
                <w:rFonts w:asciiTheme="majorHAnsi" w:hAnsiTheme="majorHAnsi"/>
                <w:noProof/>
                <w:sz w:val="20"/>
              </w:rPr>
              <w:t xml:space="preserve"> </w:t>
            </w:r>
            <w:r w:rsidR="003833DD">
              <w:rPr>
                <w:rFonts w:asciiTheme="majorHAnsi" w:hAnsiTheme="majorHAnsi"/>
                <w:b/>
              </w:rPr>
              <w:t>Congratulations on meeting one of CMC’s KPIs:</w:t>
            </w:r>
          </w:p>
          <w:p w14:paraId="106DC4C1" w14:textId="7EBEF848" w:rsidR="003833DD" w:rsidRPr="003833DD" w:rsidRDefault="003833DD" w:rsidP="003833DD">
            <w:pPr>
              <w:rPr>
                <w:rFonts w:ascii="Calibri Light" w:hAnsi="Calibri Light" w:cs="Arial"/>
                <w:sz w:val="20"/>
                <w:szCs w:val="20"/>
              </w:rPr>
            </w:pPr>
            <w:r w:rsidRPr="003833DD">
              <w:rPr>
                <w:rFonts w:ascii="Calibri Light" w:hAnsi="Calibri Light" w:cs="Arial"/>
                <w:sz w:val="20"/>
                <w:szCs w:val="20"/>
              </w:rPr>
              <w:t>One of CMC’s Key Performance Indicators was to reduce no-show rates for chronic care diabetic patients to below 10%. As of Jan. 31, CMC has met that goal by achieving a 6.36% no-show rate for this patient population.</w:t>
            </w:r>
          </w:p>
          <w:p w14:paraId="3CE90638" w14:textId="3EEAB2C2" w:rsidR="00625A69" w:rsidRPr="00932551" w:rsidRDefault="00625A69" w:rsidP="00932551">
            <w:pPr>
              <w:rPr>
                <w:rFonts w:ascii="Calibri Light" w:hAnsi="Calibri Light" w:cs="Arial"/>
                <w:color w:val="262626"/>
                <w:sz w:val="20"/>
                <w:szCs w:val="20"/>
              </w:rPr>
            </w:pPr>
          </w:p>
        </w:tc>
      </w:tr>
      <w:tr w:rsidR="00824F3C" w14:paraId="3EF699CF" w14:textId="77777777" w:rsidTr="00E72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0"/>
        </w:trPr>
        <w:tc>
          <w:tcPr>
            <w:tcW w:w="5130" w:type="dxa"/>
            <w:gridSpan w:val="3"/>
            <w:vMerge/>
            <w:tcBorders>
              <w:left w:val="single" w:sz="8" w:space="0" w:color="auto"/>
              <w:right w:val="single" w:sz="4" w:space="0" w:color="auto"/>
            </w:tcBorders>
          </w:tcPr>
          <w:p w14:paraId="6CD3B63B"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1102E1B5"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3699A25D" w14:textId="7A23D5C6" w:rsidR="008B7918" w:rsidRPr="00932551" w:rsidRDefault="00932551" w:rsidP="00932551">
            <w:pPr>
              <w:spacing w:line="259" w:lineRule="atLeast"/>
              <w:rPr>
                <w:rFonts w:ascii="Calibri Light" w:hAnsi="Calibri Light" w:cs="Arial"/>
                <w:sz w:val="20"/>
                <w:szCs w:val="20"/>
              </w:rPr>
            </w:pPr>
            <w:r w:rsidRPr="00932551">
              <w:rPr>
                <w:rFonts w:ascii="Calibri Light" w:hAnsi="Calibri Light" w:cs="Arial"/>
                <w:sz w:val="20"/>
                <w:szCs w:val="20"/>
              </w:rPr>
              <w:t xml:space="preserve">In support of the $50 million Innovations in Mind fundraising initiative, hundreds of students contributed more than $14,000 toward the construction of the new Health Education Center on the Galveston Campus. UTMB employees also have an opportunity to contribute as part of the Faculty and Staff Campaign, which is underway now. Employees can support any one of the initiative’s four funding priorities: the new HEC, student scholarships, faculty endowments and neurodegenerative disorders research. To learn more about each of these and to contribute, visit </w:t>
            </w:r>
            <w:hyperlink r:id="rId23" w:history="1">
              <w:r w:rsidRPr="00EE40CF">
                <w:rPr>
                  <w:rStyle w:val="Hyperlink"/>
                  <w:rFonts w:ascii="Calibri Light" w:hAnsi="Calibri Light" w:cs="Arial"/>
                  <w:color w:val="FF0000"/>
                  <w:sz w:val="20"/>
                  <w:szCs w:val="20"/>
                </w:rPr>
                <w:t>https://innovationsinmind.utmb.edu/employee</w:t>
              </w:r>
            </w:hyperlink>
            <w:r w:rsidRPr="00932551">
              <w:rPr>
                <w:rFonts w:ascii="Calibri Light" w:hAnsi="Calibri Light" w:cs="Arial"/>
                <w:sz w:val="20"/>
                <w:szCs w:val="20"/>
              </w:rPr>
              <w:t>.</w:t>
            </w:r>
          </w:p>
        </w:tc>
      </w:tr>
    </w:tbl>
    <w:p w14:paraId="157773BE" w14:textId="16FBE69E" w:rsidR="008F7AD8" w:rsidRPr="00DC69BA" w:rsidRDefault="008F7AD8" w:rsidP="00596875">
      <w:pPr>
        <w:rPr>
          <w:rFonts w:asciiTheme="majorHAnsi" w:hAnsiTheme="majorHAnsi"/>
          <w:sz w:val="20"/>
        </w:rPr>
      </w:pPr>
    </w:p>
    <w:sectPr w:rsidR="008F7AD8" w:rsidRPr="00DC69BA" w:rsidSect="003352C1">
      <w:headerReference w:type="even" r:id="rId24"/>
      <w:footerReference w:type="first" r:id="rId2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E0E21" w14:textId="77777777" w:rsidR="003C28EF" w:rsidRDefault="003C28EF" w:rsidP="00874B86">
      <w:r>
        <w:separator/>
      </w:r>
    </w:p>
  </w:endnote>
  <w:endnote w:type="continuationSeparator" w:id="0">
    <w:p w14:paraId="0FC88357" w14:textId="77777777" w:rsidR="003C28EF" w:rsidRDefault="003C28EF"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1C5C16" w14:paraId="4B61D01B" w14:textId="77777777" w:rsidTr="005C40E5">
      <w:trPr>
        <w:trHeight w:val="440"/>
      </w:trPr>
      <w:tc>
        <w:tcPr>
          <w:tcW w:w="10980" w:type="dxa"/>
          <w:vAlign w:val="center"/>
        </w:tcPr>
        <w:p w14:paraId="1CE9AB6A" w14:textId="77777777" w:rsidR="001C5C16" w:rsidRPr="00701024" w:rsidRDefault="001C5C1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02798A68" w14:textId="77777777" w:rsidR="001C5C16" w:rsidRPr="00701024" w:rsidRDefault="001C5C1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8157A" w14:textId="77777777" w:rsidR="003C28EF" w:rsidRDefault="003C28EF" w:rsidP="00874B86">
      <w:r>
        <w:separator/>
      </w:r>
    </w:p>
  </w:footnote>
  <w:footnote w:type="continuationSeparator" w:id="0">
    <w:p w14:paraId="4C28CD6D" w14:textId="77777777" w:rsidR="003C28EF" w:rsidRDefault="003C28EF"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4DD13" w14:textId="77777777" w:rsidR="001C5C16" w:rsidRDefault="00954BC6">
    <w:pPr>
      <w:pStyle w:val="Header"/>
    </w:pPr>
    <w:r>
      <w:rPr>
        <w:noProof/>
      </w:rPr>
      <w:pict w14:anchorId="17DB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23370E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5pt;height:220.1pt;visibility:visible;mso-wrap-style:square" o:bullet="t">
        <v:imagedata r:id="rId1" o:title=""/>
      </v:shape>
    </w:pict>
  </w:numPicBullet>
  <w:numPicBullet w:numPicBulletId="1">
    <w:pict>
      <v:shape id="_x0000_i1027" type="#_x0000_t75" style="width:112.1pt;height:76.1pt;visibility:visible;mso-wrap-style:square" o:bullet="t">
        <v:imagedata r:id="rId2" o:title=""/>
      </v:shape>
    </w:pict>
  </w:numPicBullet>
  <w:numPicBullet w:numPicBulletId="2">
    <w:pict>
      <v:shape id="_x0000_i1028" type="#_x0000_t75" style="width:71.3pt;height:60.45pt;visibility:visible;mso-wrap-style:square" o:bullet="t">
        <v:imagedata r:id="rId3" o:title=""/>
      </v:shape>
    </w:pict>
  </w:numPicBullet>
  <w:numPicBullet w:numPicBulletId="3">
    <w:pict>
      <v:shape id="_x0000_i1029" type="#_x0000_t75" style="width:224.85pt;height:221.45pt;visibility:visible;mso-wrap-style:square" o:bullet="t">
        <v:imagedata r:id="rId4" o:title=""/>
      </v:shape>
    </w:pict>
  </w:numPicBullet>
  <w:numPicBullet w:numPicBulletId="4">
    <w:pict>
      <v:shape id="_x0000_i1030" type="#_x0000_t75" style="width:113.45pt;height:131.75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96D0B"/>
    <w:multiLevelType w:val="hybridMultilevel"/>
    <w:tmpl w:val="FAD4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382B89"/>
    <w:multiLevelType w:val="hybridMultilevel"/>
    <w:tmpl w:val="BC3E2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DE738C"/>
    <w:multiLevelType w:val="hybridMultilevel"/>
    <w:tmpl w:val="26CA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21">
    <w:nsid w:val="2E006245"/>
    <w:multiLevelType w:val="hybridMultilevel"/>
    <w:tmpl w:val="8DDC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54002F"/>
    <w:multiLevelType w:val="multilevel"/>
    <w:tmpl w:val="8D1AB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24">
    <w:nsid w:val="35D55CEC"/>
    <w:multiLevelType w:val="hybridMultilevel"/>
    <w:tmpl w:val="17A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F448D1"/>
    <w:multiLevelType w:val="multilevel"/>
    <w:tmpl w:val="5EC4FE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423A6780"/>
    <w:multiLevelType w:val="hybridMultilevel"/>
    <w:tmpl w:val="E10C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3D1F75"/>
    <w:multiLevelType w:val="hybridMultilevel"/>
    <w:tmpl w:val="E34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B728CF"/>
    <w:multiLevelType w:val="hybridMultilevel"/>
    <w:tmpl w:val="8F425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nsid w:val="4B0262EE"/>
    <w:multiLevelType w:val="hybridMultilevel"/>
    <w:tmpl w:val="1876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E9F5ED8"/>
    <w:multiLevelType w:val="hybridMultilevel"/>
    <w:tmpl w:val="8EE8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880974"/>
    <w:multiLevelType w:val="hybridMultilevel"/>
    <w:tmpl w:val="AD62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37">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0733AC"/>
    <w:multiLevelType w:val="hybridMultilevel"/>
    <w:tmpl w:val="03E0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41">
    <w:nsid w:val="6C9E3906"/>
    <w:multiLevelType w:val="hybridMultilevel"/>
    <w:tmpl w:val="9BF0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44">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45">
    <w:nsid w:val="7C2B4B03"/>
    <w:multiLevelType w:val="hybridMultilevel"/>
    <w:tmpl w:val="EFF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7"/>
  </w:num>
  <w:num w:numId="4">
    <w:abstractNumId w:val="43"/>
  </w:num>
  <w:num w:numId="5">
    <w:abstractNumId w:val="46"/>
  </w:num>
  <w:num w:numId="6">
    <w:abstractNumId w:val="11"/>
  </w:num>
  <w:num w:numId="7">
    <w:abstractNumId w:val="29"/>
  </w:num>
  <w:num w:numId="8">
    <w:abstractNumId w:val="6"/>
  </w:num>
  <w:num w:numId="9">
    <w:abstractNumId w:val="40"/>
  </w:num>
  <w:num w:numId="10">
    <w:abstractNumId w:val="23"/>
  </w:num>
  <w:num w:numId="11">
    <w:abstractNumId w:val="18"/>
  </w:num>
  <w:num w:numId="12">
    <w:abstractNumId w:val="42"/>
  </w:num>
  <w:num w:numId="13">
    <w:abstractNumId w:val="13"/>
  </w:num>
  <w:num w:numId="14">
    <w:abstractNumId w:val="14"/>
  </w:num>
  <w:num w:numId="15">
    <w:abstractNumId w:val="12"/>
  </w:num>
  <w:num w:numId="16">
    <w:abstractNumId w:val="32"/>
  </w:num>
  <w:num w:numId="17">
    <w:abstractNumId w:val="44"/>
  </w:num>
  <w:num w:numId="18">
    <w:abstractNumId w:val="20"/>
  </w:num>
  <w:num w:numId="19">
    <w:abstractNumId w:val="36"/>
  </w:num>
  <w:num w:numId="20">
    <w:abstractNumId w:val="4"/>
  </w:num>
  <w:num w:numId="21">
    <w:abstractNumId w:val="8"/>
  </w:num>
  <w:num w:numId="22">
    <w:abstractNumId w:val="3"/>
  </w:num>
  <w:num w:numId="23">
    <w:abstractNumId w:val="19"/>
  </w:num>
  <w:num w:numId="24">
    <w:abstractNumId w:val="31"/>
  </w:num>
  <w:num w:numId="25">
    <w:abstractNumId w:val="5"/>
  </w:num>
  <w:num w:numId="26">
    <w:abstractNumId w:val="0"/>
  </w:num>
  <w:num w:numId="27">
    <w:abstractNumId w:val="30"/>
  </w:num>
  <w:num w:numId="28">
    <w:abstractNumId w:val="38"/>
  </w:num>
  <w:num w:numId="29">
    <w:abstractNumId w:val="17"/>
  </w:num>
  <w:num w:numId="30">
    <w:abstractNumId w:val="37"/>
  </w:num>
  <w:num w:numId="31">
    <w:abstractNumId w:val="10"/>
  </w:num>
  <w:num w:numId="32">
    <w:abstractNumId w:val="41"/>
  </w:num>
  <w:num w:numId="33">
    <w:abstractNumId w:val="34"/>
  </w:num>
  <w:num w:numId="34">
    <w:abstractNumId w:val="35"/>
  </w:num>
  <w:num w:numId="35">
    <w:abstractNumId w:val="27"/>
  </w:num>
  <w:num w:numId="36">
    <w:abstractNumId w:val="45"/>
  </w:num>
  <w:num w:numId="37">
    <w:abstractNumId w:val="33"/>
  </w:num>
  <w:num w:numId="38">
    <w:abstractNumId w:val="24"/>
  </w:num>
  <w:num w:numId="39">
    <w:abstractNumId w:val="26"/>
  </w:num>
  <w:num w:numId="40">
    <w:abstractNumId w:val="21"/>
  </w:num>
  <w:num w:numId="41">
    <w:abstractNumId w:val="2"/>
  </w:num>
  <w:num w:numId="42">
    <w:abstractNumId w:val="9"/>
  </w:num>
  <w:num w:numId="43">
    <w:abstractNumId w:val="28"/>
  </w:num>
  <w:num w:numId="44">
    <w:abstractNumId w:val="16"/>
  </w:num>
  <w:num w:numId="45">
    <w:abstractNumId w:val="39"/>
  </w:num>
  <w:num w:numId="46">
    <w:abstractNumId w:val="25"/>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7004E"/>
    <w:rsid w:val="0007289E"/>
    <w:rsid w:val="0008270F"/>
    <w:rsid w:val="00086653"/>
    <w:rsid w:val="00087000"/>
    <w:rsid w:val="000966FD"/>
    <w:rsid w:val="000A26D9"/>
    <w:rsid w:val="000A297A"/>
    <w:rsid w:val="000B2BB1"/>
    <w:rsid w:val="000B381B"/>
    <w:rsid w:val="000B6351"/>
    <w:rsid w:val="000B7007"/>
    <w:rsid w:val="000B73A7"/>
    <w:rsid w:val="000C69D6"/>
    <w:rsid w:val="000D665C"/>
    <w:rsid w:val="000E2A13"/>
    <w:rsid w:val="000E4374"/>
    <w:rsid w:val="000E5188"/>
    <w:rsid w:val="000F03B2"/>
    <w:rsid w:val="000F2189"/>
    <w:rsid w:val="000F5506"/>
    <w:rsid w:val="000F5AD3"/>
    <w:rsid w:val="00112068"/>
    <w:rsid w:val="001276F3"/>
    <w:rsid w:val="0016087C"/>
    <w:rsid w:val="00161A12"/>
    <w:rsid w:val="001767B8"/>
    <w:rsid w:val="001838A0"/>
    <w:rsid w:val="001962A3"/>
    <w:rsid w:val="001A2490"/>
    <w:rsid w:val="001A7128"/>
    <w:rsid w:val="001A732C"/>
    <w:rsid w:val="001B5AE8"/>
    <w:rsid w:val="001B7C99"/>
    <w:rsid w:val="001C4A7F"/>
    <w:rsid w:val="001C5C16"/>
    <w:rsid w:val="001D239E"/>
    <w:rsid w:val="001D557F"/>
    <w:rsid w:val="001E36E7"/>
    <w:rsid w:val="001E6192"/>
    <w:rsid w:val="001E7922"/>
    <w:rsid w:val="001F26BB"/>
    <w:rsid w:val="001F31B8"/>
    <w:rsid w:val="001F63BC"/>
    <w:rsid w:val="002029B1"/>
    <w:rsid w:val="00202B35"/>
    <w:rsid w:val="00206C2F"/>
    <w:rsid w:val="00211C98"/>
    <w:rsid w:val="00214F6F"/>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73AE3"/>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E05A2"/>
    <w:rsid w:val="002F5710"/>
    <w:rsid w:val="003075DC"/>
    <w:rsid w:val="003136F1"/>
    <w:rsid w:val="00321AF8"/>
    <w:rsid w:val="003224F1"/>
    <w:rsid w:val="00324F34"/>
    <w:rsid w:val="00332E95"/>
    <w:rsid w:val="003352C1"/>
    <w:rsid w:val="00353BB0"/>
    <w:rsid w:val="0036546F"/>
    <w:rsid w:val="00366EDC"/>
    <w:rsid w:val="00381C8B"/>
    <w:rsid w:val="003833DD"/>
    <w:rsid w:val="003960FE"/>
    <w:rsid w:val="003A20EF"/>
    <w:rsid w:val="003A3D5E"/>
    <w:rsid w:val="003A4577"/>
    <w:rsid w:val="003C139A"/>
    <w:rsid w:val="003C153E"/>
    <w:rsid w:val="003C28EF"/>
    <w:rsid w:val="003C7C60"/>
    <w:rsid w:val="003D0B4E"/>
    <w:rsid w:val="003D338D"/>
    <w:rsid w:val="003D7706"/>
    <w:rsid w:val="003E061E"/>
    <w:rsid w:val="003F0266"/>
    <w:rsid w:val="003F3914"/>
    <w:rsid w:val="00415311"/>
    <w:rsid w:val="00427614"/>
    <w:rsid w:val="0042789B"/>
    <w:rsid w:val="004344E8"/>
    <w:rsid w:val="004442B2"/>
    <w:rsid w:val="00452691"/>
    <w:rsid w:val="0046357C"/>
    <w:rsid w:val="00463F9C"/>
    <w:rsid w:val="00466810"/>
    <w:rsid w:val="0047101D"/>
    <w:rsid w:val="00496356"/>
    <w:rsid w:val="004A2F43"/>
    <w:rsid w:val="004A48A1"/>
    <w:rsid w:val="004A6B9E"/>
    <w:rsid w:val="004C1619"/>
    <w:rsid w:val="004C1A8C"/>
    <w:rsid w:val="004C3BE1"/>
    <w:rsid w:val="004C4313"/>
    <w:rsid w:val="004F74F1"/>
    <w:rsid w:val="00502D6C"/>
    <w:rsid w:val="0052069E"/>
    <w:rsid w:val="00524DCF"/>
    <w:rsid w:val="0052538F"/>
    <w:rsid w:val="00532D16"/>
    <w:rsid w:val="00536B2A"/>
    <w:rsid w:val="00543D38"/>
    <w:rsid w:val="00544157"/>
    <w:rsid w:val="0055137B"/>
    <w:rsid w:val="005529B6"/>
    <w:rsid w:val="00554E79"/>
    <w:rsid w:val="005600FC"/>
    <w:rsid w:val="00560F16"/>
    <w:rsid w:val="005847FF"/>
    <w:rsid w:val="00587911"/>
    <w:rsid w:val="005962F1"/>
    <w:rsid w:val="00596875"/>
    <w:rsid w:val="0059768F"/>
    <w:rsid w:val="005B1203"/>
    <w:rsid w:val="005B5CE0"/>
    <w:rsid w:val="005C0421"/>
    <w:rsid w:val="005C3769"/>
    <w:rsid w:val="005C40E5"/>
    <w:rsid w:val="005C542D"/>
    <w:rsid w:val="005C6EEC"/>
    <w:rsid w:val="005D134B"/>
    <w:rsid w:val="005D163A"/>
    <w:rsid w:val="005D238F"/>
    <w:rsid w:val="005D27C3"/>
    <w:rsid w:val="005D6789"/>
    <w:rsid w:val="005E5DD1"/>
    <w:rsid w:val="005E7BE5"/>
    <w:rsid w:val="005F6B08"/>
    <w:rsid w:val="005F6DE6"/>
    <w:rsid w:val="0060605B"/>
    <w:rsid w:val="0060696E"/>
    <w:rsid w:val="00607FE9"/>
    <w:rsid w:val="00613206"/>
    <w:rsid w:val="00615E49"/>
    <w:rsid w:val="006221D7"/>
    <w:rsid w:val="00625A69"/>
    <w:rsid w:val="0064541C"/>
    <w:rsid w:val="00652FB7"/>
    <w:rsid w:val="00655499"/>
    <w:rsid w:val="00662FE8"/>
    <w:rsid w:val="006804EC"/>
    <w:rsid w:val="00680E61"/>
    <w:rsid w:val="00682DCE"/>
    <w:rsid w:val="00694829"/>
    <w:rsid w:val="0069634D"/>
    <w:rsid w:val="006A7BC7"/>
    <w:rsid w:val="006B1031"/>
    <w:rsid w:val="006B68AF"/>
    <w:rsid w:val="00701024"/>
    <w:rsid w:val="007021E5"/>
    <w:rsid w:val="0071465A"/>
    <w:rsid w:val="007150CA"/>
    <w:rsid w:val="00721CF2"/>
    <w:rsid w:val="00722C34"/>
    <w:rsid w:val="007238D7"/>
    <w:rsid w:val="007252A6"/>
    <w:rsid w:val="00727536"/>
    <w:rsid w:val="00727C45"/>
    <w:rsid w:val="00732060"/>
    <w:rsid w:val="00737032"/>
    <w:rsid w:val="0073723F"/>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7D73C2"/>
    <w:rsid w:val="00803F67"/>
    <w:rsid w:val="00816D2E"/>
    <w:rsid w:val="00817D05"/>
    <w:rsid w:val="0082346E"/>
    <w:rsid w:val="00824F3C"/>
    <w:rsid w:val="00825D37"/>
    <w:rsid w:val="00831B07"/>
    <w:rsid w:val="008325B7"/>
    <w:rsid w:val="00833D36"/>
    <w:rsid w:val="00845B26"/>
    <w:rsid w:val="00850C4A"/>
    <w:rsid w:val="008531B5"/>
    <w:rsid w:val="008719B8"/>
    <w:rsid w:val="0087261D"/>
    <w:rsid w:val="00874B86"/>
    <w:rsid w:val="00884A23"/>
    <w:rsid w:val="00892C65"/>
    <w:rsid w:val="00897939"/>
    <w:rsid w:val="008A23CB"/>
    <w:rsid w:val="008B1118"/>
    <w:rsid w:val="008B1EE6"/>
    <w:rsid w:val="008B6179"/>
    <w:rsid w:val="008B6234"/>
    <w:rsid w:val="008B7918"/>
    <w:rsid w:val="008E05F6"/>
    <w:rsid w:val="008E3153"/>
    <w:rsid w:val="008E4099"/>
    <w:rsid w:val="008F25A1"/>
    <w:rsid w:val="008F3550"/>
    <w:rsid w:val="008F42B6"/>
    <w:rsid w:val="008F7AD8"/>
    <w:rsid w:val="00903C66"/>
    <w:rsid w:val="00912BED"/>
    <w:rsid w:val="009217EC"/>
    <w:rsid w:val="00922625"/>
    <w:rsid w:val="0092265C"/>
    <w:rsid w:val="0092350C"/>
    <w:rsid w:val="009271A3"/>
    <w:rsid w:val="00931124"/>
    <w:rsid w:val="00932551"/>
    <w:rsid w:val="00936B3A"/>
    <w:rsid w:val="00954BC6"/>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5FAD"/>
    <w:rsid w:val="009F504E"/>
    <w:rsid w:val="009F6435"/>
    <w:rsid w:val="009F7C23"/>
    <w:rsid w:val="00A109FA"/>
    <w:rsid w:val="00A1295B"/>
    <w:rsid w:val="00A24C8F"/>
    <w:rsid w:val="00A33081"/>
    <w:rsid w:val="00A44121"/>
    <w:rsid w:val="00A454B2"/>
    <w:rsid w:val="00A73B89"/>
    <w:rsid w:val="00A7783B"/>
    <w:rsid w:val="00A83199"/>
    <w:rsid w:val="00A84CDE"/>
    <w:rsid w:val="00A86EA8"/>
    <w:rsid w:val="00A92F52"/>
    <w:rsid w:val="00A94E3B"/>
    <w:rsid w:val="00A95999"/>
    <w:rsid w:val="00A972A5"/>
    <w:rsid w:val="00AA3BCC"/>
    <w:rsid w:val="00AA3DAA"/>
    <w:rsid w:val="00AB5B90"/>
    <w:rsid w:val="00AB6E66"/>
    <w:rsid w:val="00AC6DF5"/>
    <w:rsid w:val="00AD0ECC"/>
    <w:rsid w:val="00AF5DE4"/>
    <w:rsid w:val="00AF61B3"/>
    <w:rsid w:val="00B03D08"/>
    <w:rsid w:val="00B14985"/>
    <w:rsid w:val="00B21C31"/>
    <w:rsid w:val="00B25A59"/>
    <w:rsid w:val="00B26D15"/>
    <w:rsid w:val="00B32644"/>
    <w:rsid w:val="00B4271F"/>
    <w:rsid w:val="00B45886"/>
    <w:rsid w:val="00B45EDC"/>
    <w:rsid w:val="00B472C9"/>
    <w:rsid w:val="00B5094E"/>
    <w:rsid w:val="00B568B4"/>
    <w:rsid w:val="00B57173"/>
    <w:rsid w:val="00B7091D"/>
    <w:rsid w:val="00B70F09"/>
    <w:rsid w:val="00B756E4"/>
    <w:rsid w:val="00B8641A"/>
    <w:rsid w:val="00B876FB"/>
    <w:rsid w:val="00B92A82"/>
    <w:rsid w:val="00BA429D"/>
    <w:rsid w:val="00BA4D87"/>
    <w:rsid w:val="00BC607D"/>
    <w:rsid w:val="00BD1CFF"/>
    <w:rsid w:val="00BD6F11"/>
    <w:rsid w:val="00BD7F52"/>
    <w:rsid w:val="00BE01D0"/>
    <w:rsid w:val="00BE1CC6"/>
    <w:rsid w:val="00BE3394"/>
    <w:rsid w:val="00BF4E49"/>
    <w:rsid w:val="00C00795"/>
    <w:rsid w:val="00C07E58"/>
    <w:rsid w:val="00C108DA"/>
    <w:rsid w:val="00C1383C"/>
    <w:rsid w:val="00C175F9"/>
    <w:rsid w:val="00C270F3"/>
    <w:rsid w:val="00C46906"/>
    <w:rsid w:val="00C50B15"/>
    <w:rsid w:val="00C53DFD"/>
    <w:rsid w:val="00C545D1"/>
    <w:rsid w:val="00C60C5A"/>
    <w:rsid w:val="00C70AA9"/>
    <w:rsid w:val="00C7271C"/>
    <w:rsid w:val="00C80144"/>
    <w:rsid w:val="00C84241"/>
    <w:rsid w:val="00C8425F"/>
    <w:rsid w:val="00C9451D"/>
    <w:rsid w:val="00C946A6"/>
    <w:rsid w:val="00C9536F"/>
    <w:rsid w:val="00CA08F1"/>
    <w:rsid w:val="00CB2EB1"/>
    <w:rsid w:val="00CB3E9C"/>
    <w:rsid w:val="00CB52BA"/>
    <w:rsid w:val="00CC3714"/>
    <w:rsid w:val="00CC3E40"/>
    <w:rsid w:val="00CD1B15"/>
    <w:rsid w:val="00CD37C6"/>
    <w:rsid w:val="00CD7D72"/>
    <w:rsid w:val="00CE4BF1"/>
    <w:rsid w:val="00D12C2F"/>
    <w:rsid w:val="00D22049"/>
    <w:rsid w:val="00D24B33"/>
    <w:rsid w:val="00D42C21"/>
    <w:rsid w:val="00D57FE0"/>
    <w:rsid w:val="00D65042"/>
    <w:rsid w:val="00D85DA7"/>
    <w:rsid w:val="00D903E8"/>
    <w:rsid w:val="00D915F2"/>
    <w:rsid w:val="00DA23AB"/>
    <w:rsid w:val="00DA307E"/>
    <w:rsid w:val="00DA638A"/>
    <w:rsid w:val="00DA76D0"/>
    <w:rsid w:val="00DA7742"/>
    <w:rsid w:val="00DC69BA"/>
    <w:rsid w:val="00DD3522"/>
    <w:rsid w:val="00DD4437"/>
    <w:rsid w:val="00DD47A2"/>
    <w:rsid w:val="00DE2079"/>
    <w:rsid w:val="00DF0D21"/>
    <w:rsid w:val="00DF616F"/>
    <w:rsid w:val="00E0041B"/>
    <w:rsid w:val="00E02826"/>
    <w:rsid w:val="00E03985"/>
    <w:rsid w:val="00E11899"/>
    <w:rsid w:val="00E17888"/>
    <w:rsid w:val="00E30C47"/>
    <w:rsid w:val="00E35816"/>
    <w:rsid w:val="00E43487"/>
    <w:rsid w:val="00E72F87"/>
    <w:rsid w:val="00E76215"/>
    <w:rsid w:val="00E840C8"/>
    <w:rsid w:val="00E87236"/>
    <w:rsid w:val="00E87D19"/>
    <w:rsid w:val="00EA0165"/>
    <w:rsid w:val="00ED5C1C"/>
    <w:rsid w:val="00ED6E29"/>
    <w:rsid w:val="00EE0C3F"/>
    <w:rsid w:val="00EE40CF"/>
    <w:rsid w:val="00EE4C13"/>
    <w:rsid w:val="00EF556C"/>
    <w:rsid w:val="00F106B3"/>
    <w:rsid w:val="00F11ACA"/>
    <w:rsid w:val="00F13FE9"/>
    <w:rsid w:val="00F21CCC"/>
    <w:rsid w:val="00F446B2"/>
    <w:rsid w:val="00F46FF8"/>
    <w:rsid w:val="00F5234B"/>
    <w:rsid w:val="00F610ED"/>
    <w:rsid w:val="00F8146E"/>
    <w:rsid w:val="00F900D9"/>
    <w:rsid w:val="00F90B4D"/>
    <w:rsid w:val="00F91754"/>
    <w:rsid w:val="00F97CB7"/>
    <w:rsid w:val="00FA0541"/>
    <w:rsid w:val="00FA1A08"/>
    <w:rsid w:val="00FA31E7"/>
    <w:rsid w:val="00FA5C0E"/>
    <w:rsid w:val="00FB5C20"/>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39CF5E8C"/>
  <w14:defaultImageDpi w14:val="300"/>
  <w15:docId w15:val="{706D42FA-A44F-44F5-8710-4A851266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5923">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665325544">
      <w:bodyDiv w:val="1"/>
      <w:marLeft w:val="0"/>
      <w:marRight w:val="0"/>
      <w:marTop w:val="0"/>
      <w:marBottom w:val="0"/>
      <w:divBdr>
        <w:top w:val="none" w:sz="0" w:space="0" w:color="auto"/>
        <w:left w:val="none" w:sz="0" w:space="0" w:color="auto"/>
        <w:bottom w:val="none" w:sz="0" w:space="0" w:color="auto"/>
        <w:right w:val="none" w:sz="0" w:space="0" w:color="auto"/>
      </w:divBdr>
    </w:div>
    <w:div w:id="914625387">
      <w:bodyDiv w:val="1"/>
      <w:marLeft w:val="0"/>
      <w:marRight w:val="0"/>
      <w:marTop w:val="0"/>
      <w:marBottom w:val="0"/>
      <w:divBdr>
        <w:top w:val="none" w:sz="0" w:space="0" w:color="auto"/>
        <w:left w:val="none" w:sz="0" w:space="0" w:color="auto"/>
        <w:bottom w:val="none" w:sz="0" w:space="0" w:color="auto"/>
        <w:right w:val="none" w:sz="0" w:space="0" w:color="auto"/>
      </w:divBdr>
    </w:div>
    <w:div w:id="1350788848">
      <w:bodyDiv w:val="1"/>
      <w:marLeft w:val="0"/>
      <w:marRight w:val="0"/>
      <w:marTop w:val="0"/>
      <w:marBottom w:val="0"/>
      <w:divBdr>
        <w:top w:val="none" w:sz="0" w:space="0" w:color="auto"/>
        <w:left w:val="none" w:sz="0" w:space="0" w:color="auto"/>
        <w:bottom w:val="none" w:sz="0" w:space="0" w:color="auto"/>
        <w:right w:val="none" w:sz="0" w:space="0" w:color="auto"/>
      </w:divBdr>
    </w:div>
    <w:div w:id="2027250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www.utsystem.edu/directory" TargetMode="External"/><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intranet.utmb.edu/best-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tmb.edu/mondays-in-march" TargetMode="External"/><Relationship Id="rId23" Type="http://schemas.openxmlformats.org/officeDocument/2006/relationships/hyperlink" Target="https://innovationsinmind.utmb.edu/employee" TargetMode="External"/><Relationship Id="rId10" Type="http://schemas.openxmlformats.org/officeDocument/2006/relationships/image" Target="media/image6.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blogs.utmb.edu/eac/?page_id=65" TargetMode="External"/><Relationship Id="rId22" Type="http://schemas.openxmlformats.org/officeDocument/2006/relationships/image" Target="media/image14.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E8F18-0174-434E-8899-085077514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3</cp:revision>
  <cp:lastPrinted>2017-02-16T16:59:00Z</cp:lastPrinted>
  <dcterms:created xsi:type="dcterms:W3CDTF">2017-02-28T20:00:00Z</dcterms:created>
  <dcterms:modified xsi:type="dcterms:W3CDTF">2017-02-28T20:02:00Z</dcterms:modified>
</cp:coreProperties>
</file>